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CD1684" w:rsidRDefault="006544C4" w:rsidP="00CD1684">
      <w:pPr>
        <w:jc w:val="center"/>
        <w:rPr>
          <w:lang w:val="fr-FR"/>
        </w:rPr>
      </w:pPr>
      <w:bookmarkStart w:id="0" w:name="_GoBack"/>
      <w:bookmarkEnd w:id="0"/>
    </w:p>
    <w:p w:rsidR="006544C4" w:rsidRPr="00CD1684" w:rsidRDefault="006544C4" w:rsidP="00CD1684">
      <w:pPr>
        <w:jc w:val="center"/>
        <w:rPr>
          <w:lang w:val="fr-FR"/>
        </w:rPr>
      </w:pPr>
    </w:p>
    <w:p w:rsidR="006544C4" w:rsidRPr="00CD1684" w:rsidRDefault="0006001B" w:rsidP="00CD1684">
      <w:pPr>
        <w:pStyle w:val="DecHTitle"/>
        <w:rPr>
          <w:lang w:val="fr-FR"/>
        </w:rPr>
      </w:pPr>
      <w:r w:rsidRPr="00CD1684">
        <w:rPr>
          <w:szCs w:val="24"/>
          <w:lang w:val="fr-FR"/>
        </w:rPr>
        <w:t>PREMIÈRE SECTION</w:t>
      </w:r>
    </w:p>
    <w:p w:rsidR="006544C4" w:rsidRPr="00CD1684" w:rsidRDefault="006544C4" w:rsidP="00CD1684">
      <w:pPr>
        <w:pStyle w:val="DecHTitle"/>
        <w:rPr>
          <w:caps/>
          <w:sz w:val="32"/>
          <w:lang w:val="fr-FR"/>
        </w:rPr>
      </w:pPr>
      <w:r w:rsidRPr="00CD1684">
        <w:rPr>
          <w:lang w:val="fr-FR"/>
        </w:rPr>
        <w:t>DÉCISION</w:t>
      </w:r>
    </w:p>
    <w:p w:rsidR="006544C4" w:rsidRPr="00CD1684" w:rsidRDefault="0006001B" w:rsidP="00CD1684">
      <w:pPr>
        <w:pStyle w:val="ECHRTitleCentre2"/>
        <w:rPr>
          <w:lang w:val="fr-FR"/>
        </w:rPr>
      </w:pPr>
      <w:r w:rsidRPr="00CD1684">
        <w:rPr>
          <w:lang w:val="fr-FR"/>
        </w:rPr>
        <w:t>Requête n</w:t>
      </w:r>
      <w:r w:rsidRPr="00CD1684">
        <w:rPr>
          <w:vertAlign w:val="superscript"/>
          <w:lang w:val="fr-FR"/>
        </w:rPr>
        <w:t>o</w:t>
      </w:r>
      <w:r w:rsidR="006544C4" w:rsidRPr="00CD1684">
        <w:rPr>
          <w:lang w:val="fr-FR"/>
        </w:rPr>
        <w:t xml:space="preserve"> </w:t>
      </w:r>
      <w:r w:rsidRPr="00CD1684">
        <w:rPr>
          <w:lang w:val="fr-FR"/>
        </w:rPr>
        <w:t>45763/12</w:t>
      </w:r>
      <w:r w:rsidR="006544C4" w:rsidRPr="00CD1684">
        <w:rPr>
          <w:lang w:val="fr-FR"/>
        </w:rPr>
        <w:br/>
      </w:r>
      <w:proofErr w:type="spellStart"/>
      <w:r w:rsidRPr="00CD1684">
        <w:rPr>
          <w:lang w:val="fr-FR"/>
        </w:rPr>
        <w:t>Bozena</w:t>
      </w:r>
      <w:proofErr w:type="spellEnd"/>
      <w:r w:rsidRPr="00CD1684">
        <w:rPr>
          <w:lang w:val="fr-FR"/>
        </w:rPr>
        <w:t xml:space="preserve"> PUPKOWSKA-RULENT</w:t>
      </w:r>
      <w:r w:rsidRPr="00CD1684">
        <w:rPr>
          <w:lang w:val="fr-FR"/>
        </w:rPr>
        <w:br/>
      </w:r>
      <w:r w:rsidR="006544C4" w:rsidRPr="00CD1684">
        <w:rPr>
          <w:lang w:val="fr-FR"/>
        </w:rPr>
        <w:t xml:space="preserve">contre </w:t>
      </w:r>
      <w:r w:rsidRPr="00CD1684">
        <w:rPr>
          <w:lang w:val="fr-FR"/>
        </w:rPr>
        <w:t>l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Italie</w:t>
      </w:r>
    </w:p>
    <w:p w:rsidR="0006001B" w:rsidRPr="00CD1684" w:rsidRDefault="0006001B" w:rsidP="00CD1684">
      <w:pPr>
        <w:pStyle w:val="ECHRPara"/>
        <w:rPr>
          <w:lang w:val="fr-FR"/>
        </w:rPr>
      </w:pPr>
      <w:r w:rsidRPr="00CD1684">
        <w:rPr>
          <w:lang w:val="fr-FR"/>
        </w:rPr>
        <w:t>La Cour européenne des droits de l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homme (première section), siégeant le</w:t>
      </w:r>
      <w:r w:rsidR="0048484C" w:rsidRPr="00CD1684">
        <w:rPr>
          <w:lang w:val="fr-FR"/>
        </w:rPr>
        <w:t xml:space="preserve"> 26 avril 2016</w:t>
      </w:r>
      <w:r w:rsidRPr="00CD1684">
        <w:rPr>
          <w:lang w:val="fr-FR"/>
        </w:rPr>
        <w:t xml:space="preserve"> en un comité composé de :</w:t>
      </w:r>
    </w:p>
    <w:p w:rsidR="0006001B" w:rsidRPr="00CD1684" w:rsidRDefault="0048484C" w:rsidP="00CD1684">
      <w:pPr>
        <w:pStyle w:val="ECHRDecisionBody"/>
        <w:rPr>
          <w:lang w:val="fr-FR"/>
        </w:rPr>
      </w:pPr>
      <w:r w:rsidRPr="00CD1684">
        <w:rPr>
          <w:lang w:val="fr-FR"/>
        </w:rPr>
        <w:tab/>
      </w:r>
      <w:proofErr w:type="spellStart"/>
      <w:r w:rsidRPr="00CD1684">
        <w:rPr>
          <w:lang w:val="fr-FR"/>
        </w:rPr>
        <w:t>Ledi</w:t>
      </w:r>
      <w:proofErr w:type="spellEnd"/>
      <w:r w:rsidRPr="00CD1684">
        <w:rPr>
          <w:lang w:val="fr-FR"/>
        </w:rPr>
        <w:t xml:space="preserve"> </w:t>
      </w:r>
      <w:proofErr w:type="spellStart"/>
      <w:r w:rsidRPr="00CD1684">
        <w:rPr>
          <w:lang w:val="fr-FR"/>
        </w:rPr>
        <w:t>Bianku</w:t>
      </w:r>
      <w:proofErr w:type="spellEnd"/>
      <w:r w:rsidRPr="00CD1684">
        <w:rPr>
          <w:lang w:val="fr-FR"/>
        </w:rPr>
        <w:t>,</w:t>
      </w:r>
      <w:r w:rsidRPr="00CD1684">
        <w:rPr>
          <w:i/>
          <w:lang w:val="fr-FR"/>
        </w:rPr>
        <w:t xml:space="preserve"> président,</w:t>
      </w:r>
      <w:r w:rsidRPr="00CD1684">
        <w:rPr>
          <w:i/>
          <w:lang w:val="fr-FR"/>
        </w:rPr>
        <w:br/>
      </w:r>
      <w:r w:rsidRPr="00CD1684">
        <w:rPr>
          <w:lang w:val="fr-FR"/>
        </w:rPr>
        <w:tab/>
        <w:t xml:space="preserve">Linos-Alexandre </w:t>
      </w:r>
      <w:proofErr w:type="spellStart"/>
      <w:r w:rsidRPr="00CD1684">
        <w:rPr>
          <w:lang w:val="fr-FR"/>
        </w:rPr>
        <w:t>Sicilianos</w:t>
      </w:r>
      <w:proofErr w:type="spellEnd"/>
      <w:r w:rsidRPr="00CD1684">
        <w:rPr>
          <w:lang w:val="fr-FR"/>
        </w:rPr>
        <w:t>,</w:t>
      </w:r>
      <w:r w:rsidRPr="00CD1684">
        <w:rPr>
          <w:i/>
          <w:lang w:val="fr-FR"/>
        </w:rPr>
        <w:br/>
      </w:r>
      <w:r w:rsidRPr="00CD1684">
        <w:rPr>
          <w:lang w:val="fr-FR"/>
        </w:rPr>
        <w:tab/>
      </w:r>
      <w:proofErr w:type="spellStart"/>
      <w:r w:rsidRPr="00CD1684">
        <w:rPr>
          <w:lang w:val="fr-FR"/>
        </w:rPr>
        <w:t>Armen</w:t>
      </w:r>
      <w:proofErr w:type="spellEnd"/>
      <w:r w:rsidRPr="00CD1684">
        <w:rPr>
          <w:lang w:val="fr-FR"/>
        </w:rPr>
        <w:t xml:space="preserve"> </w:t>
      </w:r>
      <w:proofErr w:type="spellStart"/>
      <w:r w:rsidRPr="00CD1684">
        <w:rPr>
          <w:lang w:val="fr-FR"/>
        </w:rPr>
        <w:t>Harutyunyan</w:t>
      </w:r>
      <w:proofErr w:type="spellEnd"/>
      <w:r w:rsidRPr="00CD1684">
        <w:rPr>
          <w:lang w:val="fr-FR"/>
        </w:rPr>
        <w:t>,</w:t>
      </w:r>
      <w:r w:rsidRPr="00CD1684">
        <w:rPr>
          <w:i/>
          <w:lang w:val="fr-FR"/>
        </w:rPr>
        <w:t xml:space="preserve"> juges</w:t>
      </w:r>
      <w:proofErr w:type="gramStart"/>
      <w:r w:rsidRPr="00CD1684">
        <w:rPr>
          <w:i/>
          <w:lang w:val="fr-FR"/>
        </w:rPr>
        <w:t>,</w:t>
      </w:r>
      <w:proofErr w:type="gramEnd"/>
      <w:r w:rsidRPr="00CD1684">
        <w:rPr>
          <w:lang w:val="fr-FR"/>
        </w:rPr>
        <w:br/>
        <w:t xml:space="preserve">et Abel Campos, </w:t>
      </w:r>
      <w:r w:rsidRPr="00CD1684">
        <w:rPr>
          <w:i/>
          <w:szCs w:val="24"/>
          <w:lang w:val="fr-FR"/>
        </w:rPr>
        <w:t>greffier de section</w:t>
      </w:r>
      <w:r w:rsidRPr="00CD1684">
        <w:rPr>
          <w:lang w:val="fr-FR"/>
        </w:rPr>
        <w:t>,</w:t>
      </w:r>
    </w:p>
    <w:p w:rsidR="0006001B" w:rsidRPr="00CD1684" w:rsidRDefault="0006001B" w:rsidP="00CD1684">
      <w:pPr>
        <w:pStyle w:val="ECHRPara"/>
        <w:rPr>
          <w:lang w:val="fr-FR"/>
        </w:rPr>
      </w:pPr>
      <w:r w:rsidRPr="00CD1684">
        <w:rPr>
          <w:lang w:val="fr-FR"/>
        </w:rPr>
        <w:t>Vu la requête susmentionnée introduite le 9 juillet 2012,</w:t>
      </w:r>
    </w:p>
    <w:p w:rsidR="0006001B" w:rsidRPr="00CD1684" w:rsidRDefault="0006001B" w:rsidP="00CD1684">
      <w:pPr>
        <w:pStyle w:val="ECHRPara"/>
        <w:rPr>
          <w:lang w:val="fr-FR"/>
        </w:rPr>
      </w:pPr>
      <w:r w:rsidRPr="00CD1684">
        <w:rPr>
          <w:lang w:val="fr-FR"/>
        </w:rPr>
        <w:t>Vu la déclaration déposée par le Gouvernement défendeur le 6 janvier 2016 et invitant la Cour à rayer la requête du rôle, ainsi que la réponse de la partie requérante</w:t>
      </w:r>
      <w:r w:rsidRPr="00CD1684">
        <w:rPr>
          <w:b/>
          <w:szCs w:val="24"/>
          <w:lang w:val="fr-FR"/>
        </w:rPr>
        <w:t xml:space="preserve"> </w:t>
      </w:r>
      <w:r w:rsidRPr="00CD1684">
        <w:rPr>
          <w:lang w:val="fr-FR"/>
        </w:rPr>
        <w:t>à cette déclaration,</w:t>
      </w:r>
    </w:p>
    <w:p w:rsidR="0006001B" w:rsidRPr="00CD1684" w:rsidRDefault="0006001B" w:rsidP="00CD1684">
      <w:pPr>
        <w:pStyle w:val="ECHRPara"/>
        <w:rPr>
          <w:lang w:val="fr-FR"/>
        </w:rPr>
      </w:pPr>
      <w:r w:rsidRPr="00CD1684">
        <w:rPr>
          <w:lang w:val="fr-FR"/>
        </w:rPr>
        <w:t>Vu l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approbation expresse par la requérante des termes de la déclaration unilatérale le 16 février 2016 ;</w:t>
      </w:r>
    </w:p>
    <w:p w:rsidR="0006001B" w:rsidRPr="00CD1684" w:rsidRDefault="0006001B" w:rsidP="00CD1684">
      <w:pPr>
        <w:pStyle w:val="ECHRPara"/>
        <w:rPr>
          <w:lang w:val="fr-FR"/>
        </w:rPr>
      </w:pPr>
      <w:r w:rsidRPr="00CD1684">
        <w:rPr>
          <w:lang w:val="fr-FR"/>
        </w:rPr>
        <w:t>Après en avoir délibéré, rend la décision suivante :</w:t>
      </w:r>
    </w:p>
    <w:p w:rsidR="0006001B" w:rsidRPr="00CD1684" w:rsidRDefault="0006001B" w:rsidP="00CD1684">
      <w:pPr>
        <w:pStyle w:val="ECHRTitle1"/>
        <w:rPr>
          <w:lang w:val="fr-FR"/>
        </w:rPr>
      </w:pPr>
      <w:r w:rsidRPr="00CD1684">
        <w:rPr>
          <w:lang w:val="fr-FR"/>
        </w:rPr>
        <w:t>FAITS ET PROCÉDURE</w:t>
      </w:r>
    </w:p>
    <w:p w:rsidR="0006001B" w:rsidRPr="00CD1684" w:rsidRDefault="0006001B" w:rsidP="00CD1684">
      <w:pPr>
        <w:pStyle w:val="ECHRPara"/>
        <w:rPr>
          <w:lang w:val="fr-FR"/>
        </w:rPr>
      </w:pPr>
      <w:r w:rsidRPr="00CD1684">
        <w:rPr>
          <w:lang w:val="fr-FR"/>
        </w:rPr>
        <w:t>La requérante, M</w:t>
      </w:r>
      <w:r w:rsidRPr="00CD1684">
        <w:rPr>
          <w:vertAlign w:val="superscript"/>
          <w:lang w:val="fr-FR"/>
        </w:rPr>
        <w:t>me</w:t>
      </w:r>
      <w:r w:rsidRPr="00CD1684">
        <w:rPr>
          <w:lang w:val="fr-FR"/>
        </w:rPr>
        <w:t xml:space="preserve"> </w:t>
      </w:r>
      <w:proofErr w:type="spellStart"/>
      <w:r w:rsidRPr="00CD1684">
        <w:rPr>
          <w:lang w:val="fr-FR"/>
        </w:rPr>
        <w:t>Bozena</w:t>
      </w:r>
      <w:proofErr w:type="spellEnd"/>
      <w:r w:rsidRPr="00CD1684">
        <w:rPr>
          <w:lang w:val="fr-FR"/>
        </w:rPr>
        <w:t xml:space="preserve"> </w:t>
      </w:r>
      <w:proofErr w:type="spellStart"/>
      <w:r w:rsidRPr="00CD1684">
        <w:rPr>
          <w:lang w:val="fr-FR"/>
        </w:rPr>
        <w:t>Pupkowska-Rulent</w:t>
      </w:r>
      <w:proofErr w:type="spellEnd"/>
      <w:r w:rsidRPr="00CD1684">
        <w:rPr>
          <w:lang w:val="fr-FR"/>
        </w:rPr>
        <w:t>, est une ressortissante polonaise née en 1962 et résidant à Tychy.</w:t>
      </w:r>
    </w:p>
    <w:p w:rsidR="0006001B" w:rsidRPr="00CD1684" w:rsidRDefault="0006001B" w:rsidP="00CD1684">
      <w:pPr>
        <w:pStyle w:val="ECHRPara"/>
        <w:rPr>
          <w:lang w:val="fr-FR"/>
        </w:rPr>
      </w:pPr>
      <w:r w:rsidRPr="00CD1684">
        <w:rPr>
          <w:lang w:val="fr-FR"/>
        </w:rPr>
        <w:t>Le Gouvernement italien (« le Gouvernement ») a été représenté par son agent, M</w:t>
      </w:r>
      <w:r w:rsidRPr="00CD1684">
        <w:rPr>
          <w:vertAlign w:val="superscript"/>
          <w:lang w:val="fr-FR"/>
        </w:rPr>
        <w:t>me</w:t>
      </w:r>
      <w:r w:rsidRPr="00CD1684">
        <w:rPr>
          <w:lang w:val="fr-FR"/>
        </w:rPr>
        <w:t xml:space="preserve"> E. </w:t>
      </w:r>
      <w:proofErr w:type="spellStart"/>
      <w:r w:rsidRPr="00CD1684">
        <w:rPr>
          <w:lang w:val="fr-FR"/>
        </w:rPr>
        <w:t>Spatafora</w:t>
      </w:r>
      <w:proofErr w:type="spellEnd"/>
      <w:r w:rsidRPr="00CD1684">
        <w:rPr>
          <w:lang w:val="fr-FR"/>
        </w:rPr>
        <w:t xml:space="preserve">, et son </w:t>
      </w:r>
      <w:proofErr w:type="spellStart"/>
      <w:r w:rsidRPr="00CD1684">
        <w:rPr>
          <w:lang w:val="fr-FR"/>
        </w:rPr>
        <w:t>coagent</w:t>
      </w:r>
      <w:proofErr w:type="spellEnd"/>
      <w:r w:rsidRPr="00CD1684">
        <w:rPr>
          <w:lang w:val="fr-FR"/>
        </w:rPr>
        <w:t>, M</w:t>
      </w:r>
      <w:r w:rsidRPr="00CD1684">
        <w:rPr>
          <w:vertAlign w:val="superscript"/>
          <w:lang w:val="fr-FR"/>
        </w:rPr>
        <w:t>me</w:t>
      </w:r>
      <w:r w:rsidRPr="00CD1684">
        <w:rPr>
          <w:lang w:val="fr-FR"/>
        </w:rPr>
        <w:t xml:space="preserve"> P. Accardo.</w:t>
      </w:r>
    </w:p>
    <w:p w:rsidR="0006001B" w:rsidRPr="00CD1684" w:rsidRDefault="0006001B" w:rsidP="00CD1684">
      <w:pPr>
        <w:pStyle w:val="ECHRPara"/>
        <w:rPr>
          <w:lang w:val="fr-FR"/>
        </w:rPr>
      </w:pPr>
      <w:r w:rsidRPr="00CD1684">
        <w:rPr>
          <w:lang w:val="fr-FR"/>
        </w:rPr>
        <w:t>Invoquant l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article 6 § 1 de la Convention, la requérante se plaignait de l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impossibilité de saisir un tribunal et de la durée de la procédure de recouvrement des aliments en Italie.</w:t>
      </w:r>
    </w:p>
    <w:p w:rsidR="0006001B" w:rsidRPr="00CD1684" w:rsidRDefault="0006001B" w:rsidP="00CD1684">
      <w:pPr>
        <w:pStyle w:val="ECHRTitle1"/>
        <w:rPr>
          <w:lang w:val="fr-FR"/>
        </w:rPr>
      </w:pPr>
      <w:r w:rsidRPr="00CD1684">
        <w:rPr>
          <w:lang w:val="fr-FR"/>
        </w:rPr>
        <w:lastRenderedPageBreak/>
        <w:t>EN DROIT</w:t>
      </w:r>
    </w:p>
    <w:p w:rsidR="0006001B" w:rsidRPr="00CD1684" w:rsidRDefault="0006001B" w:rsidP="00CD1684">
      <w:pPr>
        <w:pStyle w:val="ECHRPara"/>
        <w:rPr>
          <w:szCs w:val="24"/>
          <w:lang w:val="fr-FR"/>
        </w:rPr>
      </w:pPr>
      <w:r w:rsidRPr="00CD1684">
        <w:rPr>
          <w:lang w:val="fr-FR"/>
        </w:rPr>
        <w:t>Après l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échec de la tentative de règlement amiable, par</w:t>
      </w:r>
      <w:r w:rsidRPr="00CD1684">
        <w:rPr>
          <w:szCs w:val="24"/>
          <w:lang w:val="fr-FR"/>
        </w:rPr>
        <w:t xml:space="preserve"> une lettre du 6</w:t>
      </w:r>
      <w:r w:rsidR="00C8333E" w:rsidRPr="00CD1684">
        <w:rPr>
          <w:szCs w:val="24"/>
          <w:lang w:val="fr-FR"/>
        </w:rPr>
        <w:t> </w:t>
      </w:r>
      <w:r w:rsidRPr="00CD1684">
        <w:rPr>
          <w:szCs w:val="24"/>
          <w:lang w:val="fr-FR"/>
        </w:rPr>
        <w:t>janvier</w:t>
      </w:r>
      <w:r w:rsidRPr="00CD1684">
        <w:rPr>
          <w:lang w:val="fr-FR"/>
        </w:rPr>
        <w:t xml:space="preserve"> 2016,</w:t>
      </w:r>
      <w:r w:rsidRPr="00CD1684">
        <w:rPr>
          <w:szCs w:val="24"/>
          <w:lang w:val="fr-FR"/>
        </w:rPr>
        <w:t xml:space="preserve"> le Gouvernement a présenté une déclaration unilatérale afin de résoudre la question soulevée par </w:t>
      </w:r>
      <w:r w:rsidRPr="00CD1684">
        <w:rPr>
          <w:lang w:val="fr-FR"/>
        </w:rPr>
        <w:t>la requête</w:t>
      </w:r>
      <w:r w:rsidRPr="00CD1684">
        <w:rPr>
          <w:szCs w:val="24"/>
          <w:lang w:val="fr-FR"/>
        </w:rPr>
        <w:t>. Il a, en outre, invité la Cour à rayer celle</w:t>
      </w:r>
      <w:r w:rsidRPr="00CD1684">
        <w:rPr>
          <w:lang w:val="fr-FR"/>
        </w:rPr>
        <w:t>s</w:t>
      </w:r>
      <w:r w:rsidRPr="00CD1684">
        <w:rPr>
          <w:szCs w:val="24"/>
          <w:lang w:val="fr-FR"/>
        </w:rPr>
        <w:t>-ci du rôle en application de l</w:t>
      </w:r>
      <w:r w:rsidR="00CD1684" w:rsidRPr="00CD1684">
        <w:rPr>
          <w:szCs w:val="24"/>
          <w:lang w:val="fr-FR"/>
        </w:rPr>
        <w:t>’</w:t>
      </w:r>
      <w:r w:rsidRPr="00CD1684">
        <w:rPr>
          <w:szCs w:val="24"/>
          <w:lang w:val="fr-FR"/>
        </w:rPr>
        <w:t>article 37 de la Convention.</w:t>
      </w:r>
    </w:p>
    <w:p w:rsidR="0006001B" w:rsidRPr="00CD1684" w:rsidRDefault="0006001B" w:rsidP="00CD1684">
      <w:pPr>
        <w:pStyle w:val="ECHRPara"/>
        <w:rPr>
          <w:szCs w:val="24"/>
          <w:lang w:val="fr-FR"/>
        </w:rPr>
      </w:pPr>
      <w:r w:rsidRPr="00CD1684">
        <w:rPr>
          <w:szCs w:val="24"/>
          <w:lang w:val="fr-FR"/>
        </w:rPr>
        <w:t>Dans cette déclaration, le Gouvernement reconnait la violation de l</w:t>
      </w:r>
      <w:r w:rsidR="00CD1684" w:rsidRPr="00CD1684">
        <w:rPr>
          <w:szCs w:val="24"/>
          <w:lang w:val="fr-FR"/>
        </w:rPr>
        <w:t>’</w:t>
      </w:r>
      <w:r w:rsidRPr="00CD1684">
        <w:rPr>
          <w:szCs w:val="24"/>
          <w:lang w:val="fr-FR"/>
        </w:rPr>
        <w:t>article 6 § 1 de la Convention tel qu</w:t>
      </w:r>
      <w:r w:rsidR="00CD1684" w:rsidRPr="00CD1684">
        <w:rPr>
          <w:szCs w:val="24"/>
          <w:lang w:val="fr-FR"/>
        </w:rPr>
        <w:t>’</w:t>
      </w:r>
      <w:r w:rsidRPr="00CD1684">
        <w:rPr>
          <w:szCs w:val="24"/>
          <w:lang w:val="fr-FR"/>
        </w:rPr>
        <w:t>invoquée par la requérante et s</w:t>
      </w:r>
      <w:r w:rsidR="00CD1684" w:rsidRPr="00CD1684">
        <w:rPr>
          <w:szCs w:val="24"/>
          <w:lang w:val="fr-FR"/>
        </w:rPr>
        <w:t>’</w:t>
      </w:r>
      <w:r w:rsidRPr="00CD1684">
        <w:rPr>
          <w:szCs w:val="24"/>
          <w:lang w:val="fr-FR"/>
        </w:rPr>
        <w:t>engage à verser à cette dernière la somme de 5 200 EUR (cinq mille deux cents euros) à convertir en zlotys, couvrant tout préjudice moral ainsi que les frais et dépens, dans les trois mois suivant la date de la notification de la présente décision. À défaut de règlement dans ledit délai, le Gouvernement s</w:t>
      </w:r>
      <w:r w:rsidR="00CD1684" w:rsidRPr="00CD1684">
        <w:rPr>
          <w:szCs w:val="24"/>
          <w:lang w:val="fr-FR"/>
        </w:rPr>
        <w:t>’</w:t>
      </w:r>
      <w:r w:rsidRPr="00CD1684">
        <w:rPr>
          <w:szCs w:val="24"/>
          <w:lang w:val="fr-FR"/>
        </w:rPr>
        <w:t>engage à verser, à compter de l</w:t>
      </w:r>
      <w:r w:rsidR="00CD1684" w:rsidRPr="00CD1684">
        <w:rPr>
          <w:szCs w:val="24"/>
          <w:lang w:val="fr-FR"/>
        </w:rPr>
        <w:t>’</w:t>
      </w:r>
      <w:r w:rsidRPr="00CD1684">
        <w:rPr>
          <w:szCs w:val="24"/>
          <w:lang w:val="fr-FR"/>
        </w:rPr>
        <w:t>expiration de celui-ci et jusqu</w:t>
      </w:r>
      <w:r w:rsidR="00CD1684" w:rsidRPr="00CD1684">
        <w:rPr>
          <w:szCs w:val="24"/>
          <w:lang w:val="fr-FR"/>
        </w:rPr>
        <w:t>’</w:t>
      </w:r>
      <w:r w:rsidRPr="00CD1684">
        <w:rPr>
          <w:szCs w:val="24"/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CD1684" w:rsidRPr="00CD1684">
        <w:rPr>
          <w:szCs w:val="24"/>
          <w:lang w:val="fr-FR"/>
        </w:rPr>
        <w:t>’</w:t>
      </w:r>
      <w:r w:rsidRPr="00CD1684">
        <w:rPr>
          <w:szCs w:val="24"/>
          <w:lang w:val="fr-FR"/>
        </w:rPr>
        <w:t>affaire.</w:t>
      </w:r>
    </w:p>
    <w:p w:rsidR="0006001B" w:rsidRPr="00CD1684" w:rsidRDefault="0006001B" w:rsidP="00CD1684">
      <w:pPr>
        <w:pStyle w:val="ECHRPara"/>
        <w:rPr>
          <w:szCs w:val="24"/>
          <w:lang w:val="fr-FR"/>
        </w:rPr>
      </w:pPr>
      <w:r w:rsidRPr="00CD1684">
        <w:rPr>
          <w:szCs w:val="24"/>
          <w:lang w:val="fr-FR"/>
        </w:rPr>
        <w:t>Le 16 février 2016, la requérante a accepté les termes de la déclaration du Gouvernement.</w:t>
      </w:r>
    </w:p>
    <w:p w:rsidR="0006001B" w:rsidRPr="00CD1684" w:rsidRDefault="0006001B" w:rsidP="00CD1684">
      <w:pPr>
        <w:pStyle w:val="ECHRPara"/>
        <w:rPr>
          <w:lang w:val="fr-FR"/>
        </w:rPr>
      </w:pPr>
      <w:r w:rsidRPr="00CD1684">
        <w:rPr>
          <w:lang w:val="fr-FR"/>
        </w:rPr>
        <w:t>La Cour estime que compte tenu de l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approbation expresse par la requérante des termes de la déclaration formulée par le Gouvernement, il convient de considérer qu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un règlement amiable est intervenu entre les parties.</w:t>
      </w:r>
    </w:p>
    <w:p w:rsidR="0006001B" w:rsidRPr="00CD1684" w:rsidRDefault="0006001B" w:rsidP="00CD1684">
      <w:pPr>
        <w:pStyle w:val="ECHRPara"/>
        <w:rPr>
          <w:lang w:val="fr-FR"/>
        </w:rPr>
      </w:pPr>
      <w:r w:rsidRPr="00CD1684">
        <w:rPr>
          <w:lang w:val="fr-FR"/>
        </w:rPr>
        <w:t>Elle estime que celui-ci s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inspire du respect des droits de l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homme tels que les reconnaissent la Convention et ses protocoles et n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aperçoit par ailleurs aucun motif justifiant de poursuivre l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examen de la requête.</w:t>
      </w:r>
    </w:p>
    <w:p w:rsidR="0006001B" w:rsidRPr="00CD1684" w:rsidRDefault="0006001B" w:rsidP="00CD1684">
      <w:pPr>
        <w:pStyle w:val="ECHRPara"/>
        <w:rPr>
          <w:lang w:val="fr-FR"/>
        </w:rPr>
      </w:pPr>
      <w:r w:rsidRPr="00CD1684">
        <w:rPr>
          <w:lang w:val="fr-FR"/>
        </w:rPr>
        <w:t>En conséquence, il convient de rayer l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affaire du rôle.</w:t>
      </w:r>
    </w:p>
    <w:p w:rsidR="0006001B" w:rsidRPr="00CD1684" w:rsidRDefault="0006001B" w:rsidP="00CD1684">
      <w:pPr>
        <w:pStyle w:val="JuParaLast"/>
        <w:rPr>
          <w:i/>
          <w:lang w:val="fr-FR"/>
        </w:rPr>
      </w:pPr>
      <w:r w:rsidRPr="00CD1684">
        <w:rPr>
          <w:lang w:val="fr-FR"/>
        </w:rPr>
        <w:t>Par ces motifs, la Cour, à l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unanimité,</w:t>
      </w:r>
    </w:p>
    <w:p w:rsidR="0006001B" w:rsidRPr="00CD1684" w:rsidRDefault="0006001B" w:rsidP="00CD1684">
      <w:pPr>
        <w:pStyle w:val="DecList"/>
        <w:rPr>
          <w:lang w:val="fr-FR"/>
        </w:rPr>
      </w:pPr>
      <w:r w:rsidRPr="00CD1684">
        <w:rPr>
          <w:i/>
          <w:lang w:val="fr-FR"/>
        </w:rPr>
        <w:t>Décide</w:t>
      </w:r>
      <w:r w:rsidRPr="00CD1684">
        <w:rPr>
          <w:lang w:val="fr-FR"/>
        </w:rPr>
        <w:t xml:space="preserve"> de rayer la requête du rôle en vertu de l</w:t>
      </w:r>
      <w:r w:rsidR="00CD1684" w:rsidRPr="00CD1684">
        <w:rPr>
          <w:lang w:val="fr-FR"/>
        </w:rPr>
        <w:t>’</w:t>
      </w:r>
      <w:r w:rsidRPr="00CD1684">
        <w:rPr>
          <w:lang w:val="fr-FR"/>
        </w:rPr>
        <w:t>article 39 de la Convention.</w:t>
      </w:r>
    </w:p>
    <w:p w:rsidR="006544C4" w:rsidRPr="00CD1684" w:rsidRDefault="006544C4" w:rsidP="00CD1684">
      <w:pPr>
        <w:pStyle w:val="ECHRPara"/>
        <w:rPr>
          <w:sz w:val="2"/>
          <w:szCs w:val="2"/>
          <w:lang w:val="fr-FR" w:eastAsia="en-GB"/>
        </w:rPr>
      </w:pPr>
    </w:p>
    <w:p w:rsidR="006F19B0" w:rsidRPr="00CD1684" w:rsidRDefault="00F40988" w:rsidP="00CD1684">
      <w:pPr>
        <w:pStyle w:val="JuParaLast"/>
        <w:rPr>
          <w:lang w:val="fr-FR"/>
        </w:rPr>
      </w:pPr>
      <w:r w:rsidRPr="00CD1684">
        <w:rPr>
          <w:szCs w:val="24"/>
          <w:lang w:val="fr-FR"/>
        </w:rPr>
        <w:t xml:space="preserve">Fait en français puis communiqué par écrit le </w:t>
      </w:r>
      <w:r w:rsidR="0006001B" w:rsidRPr="00CD1684">
        <w:rPr>
          <w:szCs w:val="24"/>
          <w:lang w:val="fr-FR"/>
        </w:rPr>
        <w:t>19 mai 2016</w:t>
      </w:r>
      <w:r w:rsidRPr="00CD1684">
        <w:rPr>
          <w:lang w:val="fr-FR"/>
        </w:rPr>
        <w:t>.</w:t>
      </w:r>
    </w:p>
    <w:p w:rsidR="00234E8A" w:rsidRPr="00CD1684" w:rsidRDefault="0006001B" w:rsidP="00CD1684">
      <w:pPr>
        <w:pStyle w:val="JuSigned"/>
        <w:rPr>
          <w:lang w:val="fr-FR"/>
        </w:rPr>
      </w:pPr>
      <w:r w:rsidRPr="00CD1684">
        <w:rPr>
          <w:lang w:val="fr-FR"/>
        </w:rPr>
        <w:tab/>
      </w:r>
      <w:r w:rsidR="0048484C" w:rsidRPr="00CD1684">
        <w:rPr>
          <w:lang w:val="fr-FR"/>
        </w:rPr>
        <w:t>Abel Campos</w:t>
      </w:r>
      <w:r w:rsidR="006544C4" w:rsidRPr="00CD1684">
        <w:rPr>
          <w:lang w:val="fr-FR"/>
        </w:rPr>
        <w:tab/>
      </w:r>
      <w:proofErr w:type="spellStart"/>
      <w:r w:rsidRPr="00CD1684">
        <w:rPr>
          <w:lang w:val="fr-FR"/>
        </w:rPr>
        <w:t>Ledi</w:t>
      </w:r>
      <w:proofErr w:type="spellEnd"/>
      <w:r w:rsidRPr="00CD1684">
        <w:rPr>
          <w:lang w:val="fr-FR"/>
        </w:rPr>
        <w:t xml:space="preserve"> </w:t>
      </w:r>
      <w:proofErr w:type="spellStart"/>
      <w:r w:rsidRPr="00CD1684">
        <w:rPr>
          <w:lang w:val="fr-FR"/>
        </w:rPr>
        <w:t>Bianku</w:t>
      </w:r>
      <w:proofErr w:type="spellEnd"/>
      <w:r w:rsidR="006544C4" w:rsidRPr="00CD1684">
        <w:rPr>
          <w:lang w:val="fr-FR"/>
        </w:rPr>
        <w:br/>
      </w:r>
      <w:r w:rsidR="006544C4" w:rsidRPr="00CD1684">
        <w:rPr>
          <w:lang w:val="fr-FR"/>
        </w:rPr>
        <w:tab/>
      </w:r>
      <w:r w:rsidR="00561AD0" w:rsidRPr="00CD1684">
        <w:rPr>
          <w:lang w:val="fr-FR"/>
        </w:rPr>
        <w:t>Greffier</w:t>
      </w:r>
      <w:r w:rsidR="006544C4" w:rsidRPr="00CD1684">
        <w:rPr>
          <w:lang w:val="fr-FR"/>
        </w:rPr>
        <w:tab/>
      </w:r>
      <w:r w:rsidRPr="00CD1684">
        <w:rPr>
          <w:lang w:val="fr-FR"/>
        </w:rPr>
        <w:t>Président</w:t>
      </w:r>
    </w:p>
    <w:sectPr w:rsidR="00234E8A" w:rsidRPr="00CD1684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D4" w:rsidRDefault="000631D4" w:rsidP="006544C4">
      <w:r>
        <w:separator/>
      </w:r>
    </w:p>
  </w:endnote>
  <w:endnote w:type="continuationSeparator" w:id="0">
    <w:p w:rsidR="000631D4" w:rsidRDefault="000631D4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1B" w:rsidRPr="00150BFA" w:rsidRDefault="0006001B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46AAF27" wp14:editId="7BCE393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0631D4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D4" w:rsidRDefault="000631D4" w:rsidP="006544C4">
      <w:r>
        <w:separator/>
      </w:r>
    </w:p>
  </w:footnote>
  <w:footnote w:type="continuationSeparator" w:id="0">
    <w:p w:rsidR="000631D4" w:rsidRDefault="000631D4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06001B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8E04F8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PUPKOWSKA-RULENT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06001B">
      <w:rPr>
        <w:lang w:val="en-GB"/>
      </w:rPr>
      <w:t>PUPKOWSKA-RULENT c. ITALIE</w:t>
    </w:r>
    <w:r w:rsidRPr="000D527F">
      <w:rPr>
        <w:lang w:val="en-GB"/>
      </w:rPr>
      <w:tab/>
    </w:r>
    <w:r w:rsidR="0006001B">
      <w:rPr>
        <w:rStyle w:val="Numeropagina"/>
        <w:lang w:val="en-GB"/>
      </w:rPr>
      <w:fldChar w:fldCharType="begin"/>
    </w:r>
    <w:r w:rsidR="0006001B">
      <w:rPr>
        <w:rStyle w:val="Numeropagina"/>
        <w:lang w:val="en-GB"/>
      </w:rPr>
      <w:instrText xml:space="preserve"> PAGE </w:instrText>
    </w:r>
    <w:r w:rsidR="0006001B">
      <w:rPr>
        <w:rStyle w:val="Numeropagina"/>
        <w:lang w:val="en-GB"/>
      </w:rPr>
      <w:fldChar w:fldCharType="separate"/>
    </w:r>
    <w:r w:rsidR="0006001B">
      <w:rPr>
        <w:rStyle w:val="Numeropagina"/>
        <w:noProof/>
        <w:lang w:val="en-GB"/>
      </w:rPr>
      <w:t>4</w:t>
    </w:r>
    <w:r w:rsidR="0006001B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1B" w:rsidRPr="00A45145" w:rsidRDefault="0006001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752D80E" wp14:editId="603758A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0631D4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1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L4_1AppNatList" w:val="polonais"/>
    <w:docVar w:name="NBEMMDOC" w:val="0"/>
    <w:docVar w:name="Plural" w:val="0"/>
    <w:docVar w:name="SignForeName" w:val="0"/>
  </w:docVars>
  <w:rsids>
    <w:rsidRoot w:val="0006001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01B"/>
    <w:rsid w:val="000602DF"/>
    <w:rsid w:val="00061B05"/>
    <w:rsid w:val="000631D4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484C"/>
    <w:rsid w:val="00485FF9"/>
    <w:rsid w:val="004907F0"/>
    <w:rsid w:val="0049140B"/>
    <w:rsid w:val="004923A5"/>
    <w:rsid w:val="00496BFB"/>
    <w:rsid w:val="004A15C7"/>
    <w:rsid w:val="004B013B"/>
    <w:rsid w:val="004B112B"/>
    <w:rsid w:val="004B275F"/>
    <w:rsid w:val="004C01E4"/>
    <w:rsid w:val="004C086C"/>
    <w:rsid w:val="004C1F56"/>
    <w:rsid w:val="004C27BC"/>
    <w:rsid w:val="004D15F3"/>
    <w:rsid w:val="004D5311"/>
    <w:rsid w:val="004D5DCC"/>
    <w:rsid w:val="004E1539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1AD0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04F8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8333E"/>
    <w:rsid w:val="00C90D68"/>
    <w:rsid w:val="00C939FE"/>
    <w:rsid w:val="00CA4BDA"/>
    <w:rsid w:val="00CB1F66"/>
    <w:rsid w:val="00CB2951"/>
    <w:rsid w:val="00CD1684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1A2D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,Left,First line:  0 cm"/>
    <w:basedOn w:val="Normale"/>
    <w:link w:val="JuParaCh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JuParaChar">
    <w:name w:val="Ju_Para Char"/>
    <w:basedOn w:val="Carpredefinitoparagrafo"/>
    <w:link w:val="ECHRPara"/>
    <w:uiPriority w:val="12"/>
    <w:rsid w:val="0006001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124D-963C-45DE-9A6A-3ECC5EDDA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10D44-CEBD-4ADA-BFAB-E6DFF7F3F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5A4F6-0453-4351-AC20-537ABFE2B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3DB2AB-EB6E-4942-8FC9-1DBF026A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2016-07-21T09:08:00Z</dcterms:created>
  <dcterms:modified xsi:type="dcterms:W3CDTF">2016-07-21T09:08:00Z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